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EBC" w:rsidRDefault="00294EBC" w:rsidP="00294EBC">
      <w:pPr>
        <w:pStyle w:val="a3"/>
        <w:keepNext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94EBC">
        <w:rPr>
          <w:rFonts w:ascii="Times New Roman" w:eastAsia="Times New Roman" w:hAnsi="Times New Roman" w:cs="Times New Roman"/>
          <w:sz w:val="28"/>
          <w:szCs w:val="20"/>
          <w:lang w:eastAsia="ru-RU"/>
        </w:rPr>
        <w:t>Особливості формування античної культури.</w:t>
      </w:r>
    </w:p>
    <w:p w:rsidR="00294EBC" w:rsidRPr="00294EBC" w:rsidRDefault="00294EBC" w:rsidP="00294EBC">
      <w:pPr>
        <w:pStyle w:val="a3"/>
        <w:keepNext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94EBC">
        <w:rPr>
          <w:rFonts w:ascii="Times New Roman" w:eastAsia="Times New Roman" w:hAnsi="Times New Roman" w:cs="Times New Roman"/>
          <w:sz w:val="28"/>
          <w:szCs w:val="20"/>
          <w:lang w:eastAsia="ru-RU"/>
        </w:rPr>
        <w:t>Антична міфологія.</w:t>
      </w:r>
    </w:p>
    <w:p w:rsidR="00294EBC" w:rsidRDefault="00294EBC" w:rsidP="00294EBC">
      <w:pPr>
        <w:pStyle w:val="a3"/>
        <w:keepNext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94EBC">
        <w:rPr>
          <w:rFonts w:ascii="Times New Roman" w:eastAsia="Times New Roman" w:hAnsi="Times New Roman" w:cs="Times New Roman"/>
          <w:sz w:val="28"/>
          <w:szCs w:val="20"/>
          <w:lang w:eastAsia="ru-RU"/>
        </w:rPr>
        <w:t>Давньогрецька та давньоримс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ька релігія.</w:t>
      </w:r>
    </w:p>
    <w:p w:rsidR="00294EBC" w:rsidRDefault="00294EBC" w:rsidP="00294EBC">
      <w:pPr>
        <w:pStyle w:val="a3"/>
        <w:keepNext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94EBC">
        <w:rPr>
          <w:rFonts w:ascii="Times New Roman" w:eastAsia="Times New Roman" w:hAnsi="Times New Roman" w:cs="Times New Roman"/>
          <w:sz w:val="28"/>
          <w:szCs w:val="20"/>
          <w:lang w:eastAsia="ru-RU"/>
        </w:rPr>
        <w:t>Раннє християнство як складова античної культури.</w:t>
      </w:r>
    </w:p>
    <w:p w:rsidR="00294EBC" w:rsidRDefault="00294EBC" w:rsidP="00294EBC">
      <w:pPr>
        <w:pStyle w:val="a3"/>
        <w:keepNext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94EBC">
        <w:rPr>
          <w:rFonts w:ascii="Times New Roman" w:eastAsia="Times New Roman" w:hAnsi="Times New Roman" w:cs="Times New Roman"/>
          <w:sz w:val="28"/>
          <w:szCs w:val="20"/>
          <w:lang w:eastAsia="ru-RU"/>
        </w:rPr>
        <w:t>Античний спорт. Суспільні свята у Стародавній Греції та Римі.</w:t>
      </w:r>
    </w:p>
    <w:p w:rsidR="00294EBC" w:rsidRDefault="00294EBC" w:rsidP="00294EBC">
      <w:pPr>
        <w:pStyle w:val="a3"/>
        <w:keepNext/>
        <w:numPr>
          <w:ilvl w:val="0"/>
          <w:numId w:val="1"/>
        </w:numPr>
        <w:spacing w:after="0" w:line="36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94EBC">
        <w:rPr>
          <w:rFonts w:ascii="Times New Roman" w:eastAsia="Times New Roman" w:hAnsi="Times New Roman" w:cs="Times New Roman"/>
          <w:sz w:val="28"/>
          <w:szCs w:val="20"/>
          <w:lang w:eastAsia="ru-RU"/>
        </w:rPr>
        <w:t>Олімпійський</w:t>
      </w:r>
      <w:r w:rsidRPr="00294EB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рух.</w:t>
      </w:r>
    </w:p>
    <w:p w:rsidR="00294EBC" w:rsidRDefault="00294EBC" w:rsidP="00294EBC">
      <w:pPr>
        <w:pStyle w:val="a3"/>
        <w:keepNext/>
        <w:numPr>
          <w:ilvl w:val="0"/>
          <w:numId w:val="1"/>
        </w:numPr>
        <w:spacing w:after="0" w:line="36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94EBC">
        <w:rPr>
          <w:rFonts w:ascii="Times New Roman" w:eastAsia="Times New Roman" w:hAnsi="Times New Roman" w:cs="Times New Roman"/>
          <w:sz w:val="28"/>
          <w:szCs w:val="20"/>
          <w:lang w:eastAsia="ru-RU"/>
        </w:rPr>
        <w:t>Містобудування у Стародавній Греції та Римі.</w:t>
      </w:r>
    </w:p>
    <w:p w:rsidR="00294EBC" w:rsidRDefault="00294EBC" w:rsidP="00294EBC">
      <w:pPr>
        <w:pStyle w:val="a3"/>
        <w:keepNext/>
        <w:numPr>
          <w:ilvl w:val="0"/>
          <w:numId w:val="1"/>
        </w:numPr>
        <w:spacing w:after="0" w:line="36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94EBC">
        <w:rPr>
          <w:rFonts w:ascii="Times New Roman" w:eastAsia="Times New Roman" w:hAnsi="Times New Roman" w:cs="Times New Roman"/>
          <w:sz w:val="28"/>
          <w:szCs w:val="20"/>
          <w:lang w:eastAsia="ru-RU"/>
        </w:rPr>
        <w:t>Ан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тичність і середньовічне місто.</w:t>
      </w:r>
    </w:p>
    <w:p w:rsidR="00294EBC" w:rsidRPr="00294EBC" w:rsidRDefault="00294EBC" w:rsidP="00294EBC">
      <w:pPr>
        <w:pStyle w:val="a3"/>
        <w:keepNext/>
        <w:numPr>
          <w:ilvl w:val="0"/>
          <w:numId w:val="1"/>
        </w:numPr>
        <w:spacing w:after="0" w:line="36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94EBC">
        <w:rPr>
          <w:rFonts w:ascii="Times New Roman" w:eastAsia="Times New Roman" w:hAnsi="Times New Roman" w:cs="Times New Roman"/>
          <w:sz w:val="28"/>
          <w:szCs w:val="20"/>
          <w:lang w:eastAsia="ru-RU"/>
        </w:rPr>
        <w:t>Сучасне місто та антична традиція.</w:t>
      </w:r>
    </w:p>
    <w:p w:rsidR="00294EBC" w:rsidRDefault="00294EBC" w:rsidP="00294EBC">
      <w:pPr>
        <w:pStyle w:val="a3"/>
        <w:keepNext/>
        <w:numPr>
          <w:ilvl w:val="0"/>
          <w:numId w:val="1"/>
        </w:numPr>
        <w:spacing w:after="0" w:line="36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94EBC">
        <w:rPr>
          <w:rFonts w:ascii="Times New Roman" w:hAnsi="Times New Roman" w:cs="Times New Roman"/>
          <w:sz w:val="28"/>
          <w:szCs w:val="28"/>
          <w:lang w:eastAsia="ru-RU"/>
        </w:rPr>
        <w:t>Особливості розвитку та досягнення античної науки і техніки та їх вплив на еволюцію європейської цивілізації.</w:t>
      </w:r>
    </w:p>
    <w:p w:rsidR="00294EBC" w:rsidRDefault="00294EBC" w:rsidP="00294EBC">
      <w:pPr>
        <w:pStyle w:val="a3"/>
        <w:keepNext/>
        <w:numPr>
          <w:ilvl w:val="0"/>
          <w:numId w:val="1"/>
        </w:numPr>
        <w:spacing w:after="0" w:line="36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94EBC">
        <w:rPr>
          <w:rFonts w:ascii="Times New Roman" w:hAnsi="Times New Roman" w:cs="Times New Roman"/>
          <w:sz w:val="28"/>
          <w:szCs w:val="28"/>
          <w:lang w:eastAsia="ru-RU"/>
        </w:rPr>
        <w:t>Найбільші відкриття античної доби та їх значення та наслідки для роз</w:t>
      </w:r>
      <w:r>
        <w:rPr>
          <w:rFonts w:ascii="Times New Roman" w:hAnsi="Times New Roman" w:cs="Times New Roman"/>
          <w:sz w:val="28"/>
          <w:szCs w:val="28"/>
          <w:lang w:eastAsia="ru-RU"/>
        </w:rPr>
        <w:t>витку європейської цивілізації.</w:t>
      </w:r>
    </w:p>
    <w:p w:rsidR="00294EBC" w:rsidRDefault="00294EBC" w:rsidP="00294EBC">
      <w:pPr>
        <w:pStyle w:val="a3"/>
        <w:keepNext/>
        <w:numPr>
          <w:ilvl w:val="0"/>
          <w:numId w:val="1"/>
        </w:numPr>
        <w:spacing w:after="0" w:line="36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94EBC">
        <w:rPr>
          <w:rFonts w:ascii="Times New Roman" w:hAnsi="Times New Roman" w:cs="Times New Roman"/>
          <w:sz w:val="28"/>
          <w:szCs w:val="28"/>
          <w:lang w:eastAsia="ru-RU"/>
        </w:rPr>
        <w:t>Юліанський календар.</w:t>
      </w:r>
    </w:p>
    <w:p w:rsidR="00294EBC" w:rsidRDefault="00294EBC" w:rsidP="00294EBC">
      <w:pPr>
        <w:pStyle w:val="a3"/>
        <w:keepNext/>
        <w:numPr>
          <w:ilvl w:val="0"/>
          <w:numId w:val="1"/>
        </w:numPr>
        <w:spacing w:after="0" w:line="36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Антична педагогічна спадщина.</w:t>
      </w:r>
    </w:p>
    <w:p w:rsidR="00294EBC" w:rsidRDefault="00294EBC" w:rsidP="00294EBC">
      <w:pPr>
        <w:pStyle w:val="a3"/>
        <w:keepNext/>
        <w:numPr>
          <w:ilvl w:val="0"/>
          <w:numId w:val="1"/>
        </w:numPr>
        <w:spacing w:after="0" w:line="36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94EBC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294EBC">
        <w:rPr>
          <w:rFonts w:ascii="Times New Roman" w:hAnsi="Times New Roman" w:cs="Times New Roman"/>
          <w:sz w:val="28"/>
          <w:szCs w:val="28"/>
          <w:lang w:eastAsia="ru-RU"/>
        </w:rPr>
        <w:t>авньогрецьке та давньоримське виховання та розвиток європейської педагогічної думки на сучасному етапі.</w:t>
      </w:r>
    </w:p>
    <w:p w:rsidR="00294EBC" w:rsidRDefault="00294EBC" w:rsidP="00294EBC">
      <w:pPr>
        <w:pStyle w:val="a3"/>
        <w:keepNext/>
        <w:numPr>
          <w:ilvl w:val="0"/>
          <w:numId w:val="1"/>
        </w:numPr>
        <w:spacing w:after="0" w:line="36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94EBC">
        <w:rPr>
          <w:rFonts w:ascii="Times New Roman" w:hAnsi="Times New Roman" w:cs="Times New Roman"/>
          <w:sz w:val="28"/>
          <w:szCs w:val="28"/>
          <w:lang w:eastAsia="ru-RU"/>
        </w:rPr>
        <w:t>Антична література як основа р</w:t>
      </w:r>
      <w:r>
        <w:rPr>
          <w:rFonts w:ascii="Times New Roman" w:hAnsi="Times New Roman" w:cs="Times New Roman"/>
          <w:sz w:val="28"/>
          <w:szCs w:val="28"/>
          <w:lang w:eastAsia="ru-RU"/>
        </w:rPr>
        <w:t>озвитку європейських літератур.</w:t>
      </w:r>
    </w:p>
    <w:p w:rsidR="00294EBC" w:rsidRDefault="00294EBC" w:rsidP="00294EBC">
      <w:pPr>
        <w:pStyle w:val="a3"/>
        <w:keepNext/>
        <w:numPr>
          <w:ilvl w:val="0"/>
          <w:numId w:val="1"/>
        </w:numPr>
        <w:spacing w:after="0" w:line="36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94EBC">
        <w:rPr>
          <w:rFonts w:ascii="Times New Roman" w:hAnsi="Times New Roman" w:cs="Times New Roman"/>
          <w:sz w:val="28"/>
          <w:szCs w:val="28"/>
          <w:lang w:eastAsia="ru-RU"/>
        </w:rPr>
        <w:t>Антична спадщина у літературі, архіте</w:t>
      </w:r>
      <w:r>
        <w:rPr>
          <w:rFonts w:ascii="Times New Roman" w:hAnsi="Times New Roman" w:cs="Times New Roman"/>
          <w:sz w:val="28"/>
          <w:szCs w:val="28"/>
          <w:lang w:eastAsia="ru-RU"/>
        </w:rPr>
        <w:t>ктурі та мистецтві Відродження.</w:t>
      </w:r>
    </w:p>
    <w:p w:rsidR="00294EBC" w:rsidRDefault="00294EBC" w:rsidP="00294EBC">
      <w:pPr>
        <w:pStyle w:val="a3"/>
        <w:keepNext/>
        <w:numPr>
          <w:ilvl w:val="0"/>
          <w:numId w:val="1"/>
        </w:numPr>
        <w:spacing w:after="0" w:line="36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94EBC">
        <w:rPr>
          <w:rFonts w:ascii="Times New Roman" w:hAnsi="Times New Roman" w:cs="Times New Roman"/>
          <w:sz w:val="28"/>
          <w:szCs w:val="28"/>
          <w:lang w:eastAsia="ru-RU"/>
        </w:rPr>
        <w:t xml:space="preserve">Класицизм та розвиток традицій архітектури античності у </w:t>
      </w:r>
      <w:r w:rsidRPr="00294EBC">
        <w:rPr>
          <w:rFonts w:ascii="Times New Roman" w:hAnsi="Times New Roman" w:cs="Times New Roman"/>
          <w:sz w:val="28"/>
          <w:szCs w:val="28"/>
          <w:lang w:val="en-US" w:eastAsia="ru-RU"/>
        </w:rPr>
        <w:t>XVII</w:t>
      </w:r>
      <w:r w:rsidRPr="00294EB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– </w:t>
      </w:r>
      <w:r w:rsidRPr="00294EBC">
        <w:rPr>
          <w:rFonts w:ascii="Times New Roman" w:hAnsi="Times New Roman" w:cs="Times New Roman"/>
          <w:sz w:val="28"/>
          <w:szCs w:val="28"/>
          <w:lang w:eastAsia="ru-RU"/>
        </w:rPr>
        <w:t xml:space="preserve">на початку </w:t>
      </w:r>
      <w:r w:rsidRPr="00294EBC">
        <w:rPr>
          <w:rFonts w:ascii="Times New Roman" w:hAnsi="Times New Roman" w:cs="Times New Roman"/>
          <w:sz w:val="28"/>
          <w:szCs w:val="28"/>
          <w:lang w:val="en-US" w:eastAsia="ru-RU"/>
        </w:rPr>
        <w:t>XIX</w:t>
      </w:r>
      <w:r w:rsidRPr="00294EBC">
        <w:rPr>
          <w:rFonts w:ascii="Times New Roman" w:hAnsi="Times New Roman" w:cs="Times New Roman"/>
          <w:sz w:val="28"/>
          <w:szCs w:val="28"/>
          <w:lang w:eastAsia="ru-RU"/>
        </w:rPr>
        <w:t xml:space="preserve"> ст.</w:t>
      </w:r>
      <w:r w:rsidRPr="00294EB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294EBC" w:rsidRDefault="00294EBC" w:rsidP="00294EBC">
      <w:pPr>
        <w:pStyle w:val="a3"/>
        <w:keepNext/>
        <w:numPr>
          <w:ilvl w:val="0"/>
          <w:numId w:val="1"/>
        </w:numPr>
        <w:spacing w:after="0" w:line="36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94EBC">
        <w:rPr>
          <w:rFonts w:ascii="Times New Roman" w:hAnsi="Times New Roman" w:cs="Times New Roman"/>
          <w:sz w:val="28"/>
          <w:szCs w:val="28"/>
          <w:lang w:eastAsia="ru-RU"/>
        </w:rPr>
        <w:t>Класицизм у літературі та мистецтві.</w:t>
      </w:r>
    </w:p>
    <w:p w:rsidR="00294EBC" w:rsidRDefault="00294EBC" w:rsidP="00294EBC">
      <w:pPr>
        <w:pStyle w:val="a3"/>
        <w:keepNext/>
        <w:numPr>
          <w:ilvl w:val="0"/>
          <w:numId w:val="1"/>
        </w:numPr>
        <w:spacing w:after="0" w:line="36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94EBC">
        <w:rPr>
          <w:rFonts w:ascii="Times New Roman" w:hAnsi="Times New Roman" w:cs="Times New Roman"/>
          <w:sz w:val="28"/>
          <w:szCs w:val="28"/>
          <w:lang w:eastAsia="ru-RU"/>
        </w:rPr>
        <w:t>Рецепція римського права у європейському цивілізаційному просторі, подолання партикуляризму права.</w:t>
      </w:r>
    </w:p>
    <w:p w:rsidR="00294EBC" w:rsidRDefault="00294EBC" w:rsidP="00294EBC">
      <w:pPr>
        <w:pStyle w:val="a3"/>
        <w:keepNext/>
        <w:numPr>
          <w:ilvl w:val="0"/>
          <w:numId w:val="1"/>
        </w:numPr>
        <w:spacing w:after="0" w:line="36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94EBC">
        <w:rPr>
          <w:rFonts w:ascii="Times New Roman" w:hAnsi="Times New Roman" w:cs="Times New Roman"/>
          <w:sz w:val="28"/>
          <w:szCs w:val="28"/>
          <w:lang w:eastAsia="ru-RU"/>
        </w:rPr>
        <w:t>Кульмінація рецепції римського права у XV – XVI ст.</w:t>
      </w:r>
    </w:p>
    <w:p w:rsidR="00294EBC" w:rsidRDefault="00294EBC" w:rsidP="00294EBC">
      <w:pPr>
        <w:pStyle w:val="a3"/>
        <w:keepNext/>
        <w:numPr>
          <w:ilvl w:val="0"/>
          <w:numId w:val="1"/>
        </w:numPr>
        <w:spacing w:after="0" w:line="36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94EBC">
        <w:rPr>
          <w:rFonts w:ascii="Times New Roman" w:hAnsi="Times New Roman" w:cs="Times New Roman"/>
          <w:sz w:val="28"/>
          <w:szCs w:val="28"/>
          <w:lang w:eastAsia="ru-RU"/>
        </w:rPr>
        <w:t>Давньогрецька і латинська мова як основа сучасної термінології.</w:t>
      </w:r>
    </w:p>
    <w:p w:rsidR="00294EBC" w:rsidRDefault="00294EBC" w:rsidP="00294EBC">
      <w:pPr>
        <w:pStyle w:val="a3"/>
        <w:keepNext/>
        <w:numPr>
          <w:ilvl w:val="0"/>
          <w:numId w:val="1"/>
        </w:numPr>
        <w:spacing w:after="0" w:line="36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94EBC">
        <w:rPr>
          <w:rFonts w:ascii="Times New Roman" w:hAnsi="Times New Roman" w:cs="Times New Roman"/>
          <w:sz w:val="28"/>
          <w:szCs w:val="28"/>
          <w:lang w:eastAsia="ru-RU"/>
        </w:rPr>
        <w:t>Ієрогліфічне, лінійне та алфавітне письмо античної доби  та писемні системи сучасної Європи.</w:t>
      </w:r>
    </w:p>
    <w:p w:rsidR="00294EBC" w:rsidRDefault="00294EBC" w:rsidP="00294EBC">
      <w:pPr>
        <w:pStyle w:val="a3"/>
        <w:keepNext/>
        <w:numPr>
          <w:ilvl w:val="0"/>
          <w:numId w:val="1"/>
        </w:numPr>
        <w:spacing w:after="0" w:line="36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94EB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Грецький театр.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Грецька трагедія та комедія.</w:t>
      </w:r>
    </w:p>
    <w:p w:rsidR="00294EBC" w:rsidRDefault="00294EBC" w:rsidP="00294EBC">
      <w:pPr>
        <w:pStyle w:val="a3"/>
        <w:keepNext/>
        <w:numPr>
          <w:ilvl w:val="0"/>
          <w:numId w:val="1"/>
        </w:numPr>
        <w:spacing w:after="0" w:line="36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94EBC">
        <w:rPr>
          <w:rFonts w:ascii="Times New Roman" w:hAnsi="Times New Roman" w:cs="Times New Roman"/>
          <w:sz w:val="28"/>
          <w:szCs w:val="28"/>
          <w:lang w:eastAsia="ru-RU"/>
        </w:rPr>
        <w:t>Видовища античної доби та феномен масової культури сучасного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світу.</w:t>
      </w:r>
    </w:p>
    <w:p w:rsidR="00294EBC" w:rsidRDefault="00294EBC" w:rsidP="00294EBC">
      <w:pPr>
        <w:pStyle w:val="a3"/>
        <w:keepNext/>
        <w:numPr>
          <w:ilvl w:val="0"/>
          <w:numId w:val="1"/>
        </w:numPr>
        <w:spacing w:after="0" w:line="36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94EBC">
        <w:rPr>
          <w:rFonts w:ascii="Times New Roman" w:hAnsi="Times New Roman" w:cs="Times New Roman"/>
          <w:sz w:val="28"/>
          <w:szCs w:val="28"/>
          <w:lang w:eastAsia="ru-RU"/>
        </w:rPr>
        <w:t>Антична сп</w:t>
      </w:r>
      <w:r>
        <w:rPr>
          <w:rFonts w:ascii="Times New Roman" w:hAnsi="Times New Roman" w:cs="Times New Roman"/>
          <w:sz w:val="28"/>
          <w:szCs w:val="28"/>
          <w:lang w:eastAsia="ru-RU"/>
        </w:rPr>
        <w:t>адщина і сучасний кінематограф.</w:t>
      </w:r>
    </w:p>
    <w:p w:rsidR="00294EBC" w:rsidRPr="00294EBC" w:rsidRDefault="00294EBC" w:rsidP="00294EBC">
      <w:pPr>
        <w:pStyle w:val="a3"/>
        <w:keepNext/>
        <w:numPr>
          <w:ilvl w:val="0"/>
          <w:numId w:val="1"/>
        </w:numPr>
        <w:spacing w:after="0" w:line="36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294EBC">
        <w:rPr>
          <w:rFonts w:ascii="Times New Roman" w:hAnsi="Times New Roman" w:cs="Times New Roman"/>
          <w:sz w:val="28"/>
          <w:szCs w:val="28"/>
          <w:lang w:eastAsia="ru-RU"/>
        </w:rPr>
        <w:t>Антична спадщина в українській філософії та літературі.</w:t>
      </w:r>
    </w:p>
    <w:p w:rsidR="00DD40C9" w:rsidRDefault="00DD40C9"/>
    <w:sectPr w:rsidR="00DD40C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46F00"/>
    <w:multiLevelType w:val="hybridMultilevel"/>
    <w:tmpl w:val="BBC2B2BA"/>
    <w:lvl w:ilvl="0" w:tplc="8BEA39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94A"/>
    <w:rsid w:val="00294EBC"/>
    <w:rsid w:val="00C0694A"/>
    <w:rsid w:val="00DD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E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E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E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E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943</Words>
  <Characters>539</Characters>
  <Application>Microsoft Office Word</Application>
  <DocSecurity>0</DocSecurity>
  <Lines>4</Lines>
  <Paragraphs>2</Paragraphs>
  <ScaleCrop>false</ScaleCrop>
  <Company>Home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2018-07-03T13:08:00Z</dcterms:created>
  <dcterms:modified xsi:type="dcterms:W3CDTF">2018-07-03T13:13:00Z</dcterms:modified>
</cp:coreProperties>
</file>